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附件</w:t>
      </w:r>
      <w:r>
        <w:rPr>
          <w:rFonts w:ascii="方正仿宋_GBK" w:eastAsia="方正仿宋_GBK"/>
          <w:sz w:val="28"/>
          <w:szCs w:val="28"/>
        </w:rPr>
        <w:t>1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560" w:lineRule="exact"/>
        <w:ind w:firstLine="420" w:firstLineChars="1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一、单位条件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 独立法人资格；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 具备长江豪华游轮旅游营销的相关专业知识和经营能力，在意向优选区域有较强的影响力和营销策划能力；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 从事三峡销售优先；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 黄金邮轮优秀业绩合作商优先；</w:t>
      </w:r>
    </w:p>
    <w:p>
      <w:pPr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 办公地点与投标区域一致优先；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 企业财务状况良好；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7. 服从管理、积极配合诚邀人做好相关工作；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8. 从事旅游业务过程中无重大违法违规行为、重大安全质量事故、合同履行失信行为，社会信誉良好。  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二、资料要求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本次优选资料应包含但不限于以下两个方面：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（一）营销策略指标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 市场分析；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 渠道策略；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 宣传推广策略；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 承诺完成市场任务目标；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 承诺书（履约保证金、广告投入比例、款项支付、配合诚邀人并服从管理等）。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  <w:lang w:val="zh-CN"/>
        </w:rPr>
      </w:pPr>
      <w:r>
        <w:rPr>
          <w:rFonts w:hint="eastAsia" w:ascii="方正仿宋_GBK" w:eastAsia="方正仿宋_GBK"/>
          <w:sz w:val="28"/>
          <w:szCs w:val="28"/>
        </w:rPr>
        <w:t>6. 投标单位</w:t>
      </w:r>
      <w:r>
        <w:rPr>
          <w:rFonts w:hint="eastAsia" w:ascii="方正仿宋_GBK" w:eastAsia="方正仿宋_GBK"/>
          <w:sz w:val="28"/>
          <w:szCs w:val="28"/>
          <w:lang w:val="zh-CN"/>
        </w:rPr>
        <w:t>若为首次合作，需通过为期三个月考核期，考核期内经营指标良好可转为正式签约代理，经营指标不达标的解除合作关系。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（二）资质指标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 营业执照、法人代表身份证、税务登记证、组织机构代码证等资质及相关证件证书复印件；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 企业近3年财务状况；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 企业近3年三峡游轮旅游市场销售业绩；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 在优选意向区域的办公地点、企业规模、人员及其他基本情况概述。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（三）优选保证金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1. 优选保证金交款形式及要求：优选单位从企业的基本账户（开户行）通过转账直接划付给招募单位。在《优选确认函》递交截止时间前，招募单位专用银行账户收到的优选保证金为有效优选保证金。优选人自行考虑汇入时间风险，如同城汇入、异地汇入、跨行汇入的时间要求，逾期未到账则优选恕不接受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 优选保证金的金额：人民币100000元（拾万元整）。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 招募单位专用银行账户：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公司账号：3100021519024633070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开户银行：工商银行重庆两路口支行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户名：重庆长江黄金游轮有限公司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 优选保证金的退还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（1）通知书发出后15个工作日内，招募单位向优选单位以外的其他优选单位退还优选保证金；</w:t>
      </w:r>
    </w:p>
    <w:p>
      <w:pPr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（2）招募单位与优选单位签订完代理合同后，优选保证金转为履约保证金（优选单位根据实际情况补足履约保证金差额）。</w:t>
      </w:r>
    </w:p>
    <w:p>
      <w:pPr>
        <w:spacing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</w:t>
      </w:r>
      <w:r>
        <w:rPr>
          <w:rFonts w:ascii="方正仿宋_GBK" w:eastAsia="方正仿宋_GBK"/>
          <w:sz w:val="28"/>
          <w:szCs w:val="28"/>
        </w:rPr>
        <w:t>3</w:t>
      </w:r>
      <w:r>
        <w:rPr>
          <w:rFonts w:hint="eastAsia" w:ascii="方正仿宋_GBK" w:eastAsia="方正仿宋_GBK"/>
          <w:sz w:val="28"/>
          <w:szCs w:val="28"/>
        </w:rPr>
        <w:t>）若优选单位收到中标通知书后，放弃合作或拒绝执行该招标公告内相关合作事项，则视为优选单位主动放弃优选保证金，优选保证金不再退还。</w:t>
      </w:r>
    </w:p>
    <w:p>
      <w:pPr>
        <w:spacing w:line="560" w:lineRule="exact"/>
        <w:ind w:firstLine="560" w:firstLineChars="200"/>
        <w:rPr>
          <w:rFonts w:hint="eastAsia" w:ascii="方正仿宋_GBK" w:eastAsia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TZhZWY0MjA5ZGYyZTE2ZjdjNjNkZjJjOTNmY2MifQ=="/>
  </w:docVars>
  <w:rsids>
    <w:rsidRoot w:val="52040E60"/>
    <w:rsid w:val="520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0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2024-02-05T10:05:00Z</dcterms:created>
  <dc:creator>吉祥物小掌</dc:creator>
  <cp:lastModifiedBy>吉祥物小掌</cp:lastModifiedBy>
  <dcterms:modified xsi:type="dcterms:W3CDTF">2024-02-05T10:06:08Z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4B0D85142314457FB91895C261C0F81C_11</vt:lpwstr>
  </property>
</Properties>
</file>