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000000"/>
          <w:sz w:val="36"/>
          <w:szCs w:val="36"/>
          <w:shd w:val="clear" w:color="auto" w:fill="FFFFFF"/>
        </w:rPr>
      </w:pPr>
      <w:r>
        <w:rPr>
          <w:rFonts w:hint="eastAsia" w:ascii="方正小标宋_GBK" w:hAnsi="方正小标宋_GBK" w:eastAsia="方正小标宋_GBK" w:cs="方正小标宋_GBK"/>
          <w:color w:val="000000"/>
          <w:sz w:val="36"/>
          <w:szCs w:val="36"/>
          <w:shd w:val="clear" w:color="auto" w:fill="FFFFFF"/>
        </w:rPr>
        <w:t>长江奇迹重庆区域地接服务项目</w:t>
      </w:r>
    </w:p>
    <w:p>
      <w:pPr>
        <w:spacing w:line="600" w:lineRule="exact"/>
        <w:jc w:val="center"/>
        <w:rPr>
          <w:rFonts w:ascii="方正楷体_GBK" w:hAnsi="方正楷体_GBK" w:eastAsia="方正楷体_GBK" w:cs="方正楷体_GBK"/>
          <w:color w:val="000000"/>
          <w:sz w:val="32"/>
          <w:szCs w:val="32"/>
          <w:shd w:val="clear" w:color="auto" w:fill="FFFFFF"/>
        </w:rPr>
      </w:pPr>
      <w:r>
        <w:rPr>
          <w:rFonts w:hint="eastAsia" w:ascii="方正小标宋_GBK" w:hAnsi="方正小标宋_GBK" w:eastAsia="方正小标宋_GBK" w:cs="方正小标宋_GBK"/>
          <w:color w:val="000000"/>
          <w:sz w:val="36"/>
          <w:szCs w:val="36"/>
          <w:shd w:val="clear" w:color="auto" w:fill="FFFFFF"/>
        </w:rPr>
        <w:t>招选公告</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为进一步提升长江奇迹线路中游客的出行体验，为游客提供</w:t>
      </w:r>
      <w:r>
        <w:rPr>
          <w:rFonts w:hint="eastAsia" w:ascii="方正仿宋_GBK" w:hAnsi="方正仿宋_GBK" w:eastAsia="方正仿宋_GBK" w:cs="方正仿宋_GBK"/>
          <w:color w:val="000000"/>
          <w:sz w:val="32"/>
          <w:szCs w:val="32"/>
          <w:shd w:val="clear" w:color="auto" w:fill="FFFFFF"/>
          <w:lang w:eastAsia="zh-CN"/>
        </w:rPr>
        <w:t>重庆</w:t>
      </w:r>
      <w:r>
        <w:rPr>
          <w:rFonts w:hint="eastAsia" w:ascii="方正仿宋_GBK" w:hAnsi="方正仿宋_GBK" w:eastAsia="方正仿宋_GBK" w:cs="方正仿宋_GBK"/>
          <w:color w:val="000000"/>
          <w:sz w:val="32"/>
          <w:szCs w:val="32"/>
          <w:shd w:val="clear" w:color="auto" w:fill="FFFFFF"/>
        </w:rPr>
        <w:t>区域接站接机服务，并配套行李无忧服务，我司拟招选长江奇迹</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区域地接服务商1家，现公告如下，欢迎符合条件的公司前来报名参与比选：</w:t>
      </w:r>
    </w:p>
    <w:p>
      <w:pPr>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项目名称</w:t>
      </w:r>
    </w:p>
    <w:p>
      <w:pPr>
        <w:spacing w:line="600" w:lineRule="exact"/>
        <w:ind w:firstLine="640" w:firstLineChars="200"/>
      </w:pPr>
      <w:r>
        <w:rPr>
          <w:rFonts w:hint="eastAsia" w:ascii="方正仿宋_GBK" w:hAnsi="方正仿宋_GBK" w:eastAsia="方正仿宋_GBK" w:cs="方正仿宋_GBK"/>
          <w:sz w:val="32"/>
          <w:szCs w:val="32"/>
        </w:rPr>
        <w:t>长江奇迹重庆区域地接服务项目</w:t>
      </w:r>
    </w:p>
    <w:p>
      <w:pPr>
        <w:spacing w:line="600" w:lineRule="exact"/>
        <w:ind w:firstLine="640" w:firstLineChars="200"/>
        <w:rPr>
          <w:rFonts w:ascii="方正黑体_GBK" w:hAnsi="方正黑体_GBK" w:eastAsia="方正黑体_GBK" w:cs="方正黑体_GBK"/>
          <w:sz w:val="32"/>
          <w:szCs w:val="32"/>
        </w:rPr>
      </w:pP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二、合作期限</w:t>
      </w:r>
    </w:p>
    <w:p>
      <w:pPr>
        <w:spacing w:line="600" w:lineRule="exact"/>
        <w:ind w:firstLine="640" w:firstLineChars="200"/>
        <w:rPr>
          <w:rFonts w:eastAsia="方正仿宋_GBK"/>
        </w:rPr>
      </w:pPr>
      <w:r>
        <w:rPr>
          <w:rFonts w:hint="eastAsia" w:ascii="方正仿宋_GBK" w:eastAsia="方正仿宋_GBK"/>
          <w:sz w:val="32"/>
          <w:szCs w:val="32"/>
        </w:rPr>
        <w:t>自合同签订之日起至202</w:t>
      </w:r>
      <w:r>
        <w:rPr>
          <w:rFonts w:ascii="方正仿宋_GBK" w:eastAsia="方正仿宋_GBK"/>
          <w:sz w:val="32"/>
          <w:szCs w:val="32"/>
        </w:rPr>
        <w:t>4</w:t>
      </w:r>
      <w:r>
        <w:rPr>
          <w:rFonts w:hint="eastAsia" w:ascii="方正仿宋_GBK" w:eastAsia="方正仿宋_GBK"/>
          <w:sz w:val="32"/>
          <w:szCs w:val="32"/>
        </w:rPr>
        <w:t>年12月31日，根据实际情况，另行约定后续合作期限。</w:t>
      </w:r>
    </w:p>
    <w:p>
      <w:pPr>
        <w:widowControl/>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p>
    <w:p>
      <w:pPr>
        <w:widowControl/>
        <w:spacing w:line="60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color w:val="000000" w:themeColor="text1"/>
          <w:sz w:val="32"/>
          <w:szCs w:val="32"/>
          <w14:textFill>
            <w14:solidFill>
              <w14:schemeClr w14:val="tx1"/>
            </w14:solidFill>
          </w14:textFill>
        </w:rPr>
        <w:t>三、招选规则</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（一）招选方式：</w:t>
      </w:r>
      <w:r>
        <w:rPr>
          <w:rFonts w:hint="eastAsia" w:ascii="方正仿宋_GBK" w:hAnsi="方正仿宋_GBK" w:eastAsia="方正仿宋_GBK" w:cs="方正仿宋_GBK"/>
          <w:sz w:val="32"/>
          <w:szCs w:val="32"/>
        </w:rPr>
        <w:t>拟采用</w:t>
      </w:r>
      <w:r>
        <w:rPr>
          <w:rFonts w:hint="eastAsia" w:ascii="方正仿宋_GBK" w:hAnsi="方正仿宋_GBK" w:eastAsia="方正仿宋_GBK" w:cs="方正仿宋_GBK"/>
          <w:kern w:val="0"/>
          <w:sz w:val="32"/>
          <w:szCs w:val="32"/>
        </w:rPr>
        <w:t>竞争性比选最低价中选</w:t>
      </w:r>
      <w:r>
        <w:rPr>
          <w:rFonts w:hint="eastAsia" w:ascii="方正仿宋_GBK" w:hAnsi="方正仿宋_GBK" w:eastAsia="方正仿宋_GBK" w:cs="方正仿宋_GBK"/>
          <w:kern w:val="0"/>
          <w:sz w:val="32"/>
          <w:szCs w:val="32"/>
          <w:lang w:eastAsia="zh-CN"/>
        </w:rPr>
        <w:t>（整体折扣最低）</w:t>
      </w:r>
      <w:r>
        <w:rPr>
          <w:rFonts w:hint="eastAsia" w:ascii="方正仿宋_GBK" w:hAnsi="方正仿宋_GBK" w:eastAsia="方正仿宋_GBK" w:cs="方正仿宋_GBK"/>
          <w:kern w:val="0"/>
          <w:sz w:val="32"/>
          <w:szCs w:val="32"/>
        </w:rPr>
        <w:t>的方式</w:t>
      </w:r>
      <w:r>
        <w:rPr>
          <w:rFonts w:hint="eastAsia" w:ascii="方正仿宋_GBK" w:hAnsi="方正仿宋_GBK" w:eastAsia="方正仿宋_GBK" w:cs="方正仿宋_GBK"/>
          <w:sz w:val="32"/>
          <w:szCs w:val="32"/>
        </w:rPr>
        <w:t>进行招选。</w:t>
      </w:r>
    </w:p>
    <w:p>
      <w:pPr>
        <w:widowControl/>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（二）中选候选人推选规则：</w:t>
      </w:r>
    </w:p>
    <w:p>
      <w:pPr>
        <w:widowControl/>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经评审，按各资格评审合格的竞选人最后报价（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折扣率及对应折扣后</w:t>
      </w:r>
      <w:r>
        <w:rPr>
          <w:rFonts w:hint="eastAsia" w:ascii="方正仿宋_GBK" w:hAnsi="方正仿宋_GBK" w:eastAsia="方正仿宋_GBK" w:cs="方正仿宋_GBK"/>
          <w:color w:val="000000" w:themeColor="text1"/>
          <w:sz w:val="32"/>
          <w:szCs w:val="32"/>
          <w14:textFill>
            <w14:solidFill>
              <w14:schemeClr w14:val="tx1"/>
            </w14:solidFill>
          </w14:textFill>
        </w:rPr>
        <w:t>总价）由低到高的顺序排名，排名第一的为第一中选候选人。若出现多家供应商报价相等且均为最低时，由评审小组投票表决确定中选候选人排位顺序。</w:t>
      </w:r>
    </w:p>
    <w:p>
      <w:pPr>
        <w:widowControl/>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注：经评审小组评审后部分竞选人被否决，导致有效竞选人不足三个的，但是有效竞选人的经济、技术等指标仍然具有市场竞争力，能够满足比选文件要求的，评审小组可以继续评审并确定中选候选人。</w:t>
      </w:r>
    </w:p>
    <w:p>
      <w:pPr>
        <w:spacing w:line="600" w:lineRule="exact"/>
        <w:rPr>
          <w:rFonts w:ascii="方正黑体_GBK" w:hAnsi="方正黑体_GBK" w:eastAsia="方正黑体_GBK" w:cs="方正黑体_GBK"/>
          <w:sz w:val="32"/>
          <w:szCs w:val="32"/>
        </w:rPr>
      </w:pP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四、竞选报价</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C00000"/>
          <w:sz w:val="32"/>
          <w:szCs w:val="32"/>
          <w:lang w:val="en-US" w:eastAsia="zh-CN"/>
        </w:rPr>
      </w:pPr>
      <w:r>
        <w:rPr>
          <w:rFonts w:hint="eastAsia" w:ascii="方正仿宋_GBK" w:eastAsia="方正仿宋_GBK"/>
          <w:sz w:val="32"/>
          <w:szCs w:val="32"/>
        </w:rPr>
        <w:t>（一）本项目招选的总价限价为：231484元。</w:t>
      </w:r>
      <w:r>
        <w:rPr>
          <w:rFonts w:hint="eastAsia" w:ascii="方正仿宋_GBK" w:hAnsi="方正仿宋_GBK" w:eastAsia="方正仿宋_GBK" w:cs="方正仿宋_GBK"/>
          <w:color w:val="C00000"/>
          <w:sz w:val="32"/>
          <w:szCs w:val="32"/>
          <w:lang w:val="en-US" w:eastAsia="zh-CN"/>
        </w:rPr>
        <w:t>本次招选报价采用整体</w:t>
      </w:r>
      <w:r>
        <w:rPr>
          <w:rFonts w:hint="eastAsia" w:ascii="方正仿宋_GBK" w:hAnsi="方正仿宋_GBK" w:cs="方正仿宋_GBK"/>
          <w:color w:val="C00000"/>
          <w:sz w:val="32"/>
          <w:szCs w:val="32"/>
          <w:lang w:val="en-US" w:eastAsia="zh-CN"/>
        </w:rPr>
        <w:t>折扣</w:t>
      </w:r>
      <w:r>
        <w:rPr>
          <w:rFonts w:hint="eastAsia" w:ascii="方正仿宋_GBK" w:hAnsi="方正仿宋_GBK" w:eastAsia="方正仿宋_GBK" w:cs="方正仿宋_GBK"/>
          <w:color w:val="C00000"/>
          <w:sz w:val="32"/>
          <w:szCs w:val="32"/>
          <w:lang w:val="en-US" w:eastAsia="zh-CN"/>
        </w:rPr>
        <w:t>下浮（</w:t>
      </w:r>
      <w:r>
        <w:rPr>
          <w:rFonts w:hint="eastAsia" w:ascii="方正仿宋_GBK" w:hAnsi="方正仿宋_GBK" w:cs="方正仿宋_GBK"/>
          <w:color w:val="C00000"/>
          <w:sz w:val="32"/>
          <w:szCs w:val="32"/>
          <w:lang w:val="en-US" w:eastAsia="zh-CN"/>
        </w:rPr>
        <w:t>服务商填报</w:t>
      </w:r>
      <w:r>
        <w:rPr>
          <w:rFonts w:hint="eastAsia" w:ascii="方正仿宋_GBK" w:hAnsi="方正仿宋_GBK" w:eastAsia="方正仿宋_GBK" w:cs="方正仿宋_GBK"/>
          <w:color w:val="C00000"/>
          <w:sz w:val="32"/>
          <w:szCs w:val="32"/>
          <w:lang w:val="en-US" w:eastAsia="zh-CN"/>
        </w:rPr>
        <w:t>折扣率，如85折，即在限价基础上</w:t>
      </w:r>
      <w:r>
        <w:rPr>
          <w:rFonts w:hint="eastAsia" w:ascii="方正仿宋_GBK" w:hAnsi="方正仿宋_GBK" w:cs="方正仿宋_GBK"/>
          <w:color w:val="C00000"/>
          <w:sz w:val="32"/>
          <w:szCs w:val="32"/>
          <w:lang w:val="en-US" w:eastAsia="zh-CN"/>
        </w:rPr>
        <w:t>，对各项单价均</w:t>
      </w:r>
      <w:r>
        <w:rPr>
          <w:rFonts w:hint="eastAsia" w:ascii="方正仿宋_GBK" w:hAnsi="方正仿宋_GBK" w:eastAsia="方正仿宋_GBK" w:cs="方正仿宋_GBK"/>
          <w:color w:val="C00000"/>
          <w:sz w:val="32"/>
          <w:szCs w:val="32"/>
          <w:lang w:val="en-US" w:eastAsia="zh-CN"/>
        </w:rPr>
        <w:t>乘以85%</w:t>
      </w:r>
      <w:r>
        <w:rPr>
          <w:rFonts w:hint="eastAsia" w:ascii="方正仿宋_GBK" w:hAnsi="方正仿宋_GBK" w:cs="方正仿宋_GBK"/>
          <w:color w:val="C00000"/>
          <w:sz w:val="32"/>
          <w:szCs w:val="32"/>
          <w:lang w:val="en-US" w:eastAsia="zh-CN"/>
        </w:rPr>
        <w:t>，得到下浮后的单价后，再进行量价合计计算</w:t>
      </w:r>
      <w:r>
        <w:rPr>
          <w:rFonts w:hint="eastAsia" w:ascii="方正仿宋_GBK" w:hAnsi="方正仿宋_GBK" w:eastAsia="方正仿宋_GBK" w:cs="方正仿宋_GBK"/>
          <w:color w:val="C00000"/>
          <w:sz w:val="32"/>
          <w:szCs w:val="32"/>
          <w:lang w:val="en-US" w:eastAsia="zh-CN"/>
        </w:rPr>
        <w:t>）</w:t>
      </w:r>
      <w:r>
        <w:rPr>
          <w:rFonts w:hint="eastAsia" w:ascii="方正仿宋_GBK" w:hAnsi="方正仿宋_GBK" w:cs="方正仿宋_GBK"/>
          <w:color w:val="C00000"/>
          <w:sz w:val="32"/>
          <w:szCs w:val="32"/>
          <w:lang w:val="en-US" w:eastAsia="zh-CN"/>
        </w:rPr>
        <w:t>，各项单价折扣率不得差异化填报</w:t>
      </w:r>
      <w:r>
        <w:rPr>
          <w:rFonts w:hint="eastAsia" w:ascii="方正仿宋_GBK" w:hAnsi="方正仿宋_GBK" w:eastAsia="方正仿宋_GBK" w:cs="方正仿宋_GBK"/>
          <w:color w:val="C00000"/>
          <w:sz w:val="32"/>
          <w:szCs w:val="32"/>
          <w:lang w:val="en-US" w:eastAsia="zh-CN"/>
        </w:rPr>
        <w:t>。</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（二）报价要求：</w:t>
      </w:r>
    </w:p>
    <w:p>
      <w:pPr>
        <w:spacing w:line="600" w:lineRule="exact"/>
        <w:ind w:firstLine="640" w:firstLineChars="200"/>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1. 各竞选人根据附件《限价报价表》格式进行</w:t>
      </w:r>
      <w:r>
        <w:rPr>
          <w:rFonts w:hint="eastAsia" w:ascii="方正仿宋_GBK" w:hAnsi="方正仿宋_GBK" w:eastAsia="方正仿宋_GBK" w:cs="方正仿宋_GBK"/>
          <w:b w:val="0"/>
          <w:bCs w:val="0"/>
          <w:color w:val="C00000"/>
          <w:sz w:val="32"/>
          <w:szCs w:val="32"/>
          <w:lang w:eastAsia="zh-CN"/>
        </w:rPr>
        <w:t>折扣率及其他价格</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填报，并加盖公章。</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地接社需承诺提供给我司的报价为行业最低价，否则我司有权立即终止合作（承诺书需附在报价表后，加盖公章）。</w:t>
      </w:r>
    </w:p>
    <w:p>
      <w:pPr>
        <w:widowControl/>
        <w:spacing w:line="600" w:lineRule="exact"/>
        <w:ind w:firstLine="640" w:firstLineChars="200"/>
        <w:rPr>
          <w:rFonts w:hint="eastAsia" w:ascii="方正仿宋_GBK" w:eastAsia="方正仿宋_GBK"/>
          <w:color w:val="C00000"/>
          <w:sz w:val="32"/>
          <w:szCs w:val="32"/>
        </w:rPr>
      </w:pPr>
      <w:r>
        <w:rPr>
          <w:rFonts w:hint="eastAsia" w:ascii="方正仿宋_GBK" w:eastAsia="方正仿宋_GBK"/>
          <w:color w:val="000000" w:themeColor="text1"/>
          <w:sz w:val="32"/>
          <w:szCs w:val="32"/>
          <w14:textFill>
            <w14:solidFill>
              <w14:schemeClr w14:val="tx1"/>
            </w14:solidFill>
          </w14:textFill>
        </w:rPr>
        <w:t xml:space="preserve">2. </w:t>
      </w:r>
      <w:r>
        <w:rPr>
          <w:rFonts w:ascii="方正仿宋_GBK" w:eastAsia="方正仿宋_GBK"/>
          <w:color w:val="000000" w:themeColor="text1"/>
          <w:sz w:val="32"/>
          <w:szCs w:val="32"/>
          <w14:textFill>
            <w14:solidFill>
              <w14:schemeClr w14:val="tx1"/>
            </w14:solidFill>
          </w14:textFill>
        </w:rPr>
        <w:t>本项目采用固定单价的计价方式。</w:t>
      </w:r>
      <w:r>
        <w:rPr>
          <w:rFonts w:ascii="方正仿宋_GBK" w:eastAsia="方正仿宋_GBK"/>
          <w:sz w:val="32"/>
          <w:szCs w:val="32"/>
        </w:rPr>
        <w:t>各</w:t>
      </w:r>
      <w:r>
        <w:rPr>
          <w:rFonts w:hint="eastAsia" w:ascii="方正仿宋_GBK" w:eastAsia="方正仿宋_GBK"/>
          <w:sz w:val="32"/>
          <w:szCs w:val="32"/>
        </w:rPr>
        <w:t>竞选人</w:t>
      </w:r>
      <w:r>
        <w:rPr>
          <w:rFonts w:ascii="方正仿宋_GBK" w:eastAsia="方正仿宋_GBK"/>
          <w:sz w:val="32"/>
          <w:szCs w:val="32"/>
        </w:rPr>
        <w:t>根据附件《</w:t>
      </w:r>
      <w:r>
        <w:rPr>
          <w:rFonts w:hint="eastAsia" w:ascii="方正仿宋_GBK" w:eastAsia="方正仿宋_GBK"/>
          <w:sz w:val="32"/>
          <w:szCs w:val="32"/>
        </w:rPr>
        <w:t>限价报价表</w:t>
      </w:r>
      <w:r>
        <w:rPr>
          <w:rFonts w:ascii="方正仿宋_GBK" w:eastAsia="方正仿宋_GBK"/>
          <w:sz w:val="32"/>
          <w:szCs w:val="32"/>
        </w:rPr>
        <w:t>》</w:t>
      </w:r>
      <w:r>
        <w:rPr>
          <w:rFonts w:hint="eastAsia" w:ascii="方正仿宋_GBK" w:eastAsia="方正仿宋_GBK"/>
          <w:sz w:val="32"/>
          <w:szCs w:val="32"/>
        </w:rPr>
        <w:t>格式进行</w:t>
      </w:r>
      <w:r>
        <w:rPr>
          <w:rFonts w:hint="eastAsia" w:ascii="方正仿宋_GBK" w:eastAsia="方正仿宋_GBK"/>
          <w:color w:val="C00000"/>
          <w:sz w:val="32"/>
          <w:szCs w:val="32"/>
          <w:lang w:eastAsia="zh-CN"/>
        </w:rPr>
        <w:t>折扣填报</w:t>
      </w:r>
      <w:r>
        <w:rPr>
          <w:rFonts w:hint="eastAsia" w:ascii="方正仿宋_GBK" w:eastAsia="方正仿宋_GBK"/>
          <w:sz w:val="32"/>
          <w:szCs w:val="32"/>
        </w:rPr>
        <w:t>，并得出</w:t>
      </w:r>
      <w:r>
        <w:rPr>
          <w:rFonts w:hint="eastAsia" w:ascii="方正仿宋_GBK" w:eastAsia="方正仿宋_GBK"/>
          <w:sz w:val="32"/>
          <w:szCs w:val="32"/>
          <w:lang w:eastAsia="zh-CN"/>
        </w:rPr>
        <w:t>各项折扣下浮后的单价及对应</w:t>
      </w:r>
      <w:r>
        <w:rPr>
          <w:rFonts w:hint="eastAsia" w:ascii="方正仿宋_GBK" w:eastAsia="方正仿宋_GBK"/>
          <w:sz w:val="32"/>
          <w:szCs w:val="32"/>
        </w:rPr>
        <w:t>量价合计</w:t>
      </w:r>
      <w:r>
        <w:rPr>
          <w:rFonts w:hint="eastAsia" w:ascii="方正仿宋_GBK" w:eastAsia="方正仿宋_GBK"/>
          <w:sz w:val="32"/>
          <w:szCs w:val="32"/>
          <w:lang w:eastAsia="zh-CN"/>
        </w:rPr>
        <w:t>值</w:t>
      </w:r>
      <w:r>
        <w:rPr>
          <w:rFonts w:hint="eastAsia" w:ascii="方正仿宋_GBK" w:eastAsia="方正仿宋_GBK"/>
          <w:sz w:val="32"/>
          <w:szCs w:val="32"/>
        </w:rPr>
        <w:t>，竞选人填报的单价及总价均不得超过对应的限价</w:t>
      </w:r>
      <w:r>
        <w:rPr>
          <w:rFonts w:hint="eastAsia" w:ascii="方正仿宋_GBK" w:eastAsia="方正仿宋_GBK"/>
          <w:sz w:val="32"/>
          <w:szCs w:val="32"/>
          <w:lang w:eastAsia="zh-CN"/>
        </w:rPr>
        <w:t>（即折扣率需低于</w:t>
      </w:r>
      <w:r>
        <w:rPr>
          <w:rFonts w:hint="eastAsia" w:ascii="方正仿宋_GBK" w:eastAsia="方正仿宋_GBK"/>
          <w:sz w:val="32"/>
          <w:szCs w:val="32"/>
          <w:lang w:val="en-US" w:eastAsia="zh-CN"/>
        </w:rPr>
        <w:t>100%</w:t>
      </w:r>
      <w:r>
        <w:rPr>
          <w:rFonts w:hint="eastAsia" w:ascii="方正仿宋_GBK" w:eastAsia="方正仿宋_GBK"/>
          <w:sz w:val="32"/>
          <w:szCs w:val="32"/>
          <w:lang w:eastAsia="zh-CN"/>
        </w:rPr>
        <w:t>）</w:t>
      </w:r>
      <w:r>
        <w:rPr>
          <w:rFonts w:hint="eastAsia" w:ascii="方正仿宋_GBK" w:eastAsia="方正仿宋_GBK"/>
          <w:color w:val="000000" w:themeColor="text1"/>
          <w:sz w:val="32"/>
          <w:szCs w:val="32"/>
          <w14:textFill>
            <w14:solidFill>
              <w14:schemeClr w14:val="tx1"/>
            </w14:solidFill>
          </w14:textFill>
        </w:rPr>
        <w:t>，否则将否决其竞选</w:t>
      </w:r>
      <w:r>
        <w:rPr>
          <w:rFonts w:hint="eastAsia" w:ascii="方正仿宋_GBK" w:eastAsia="方正仿宋_GBK"/>
          <w:sz w:val="32"/>
          <w:szCs w:val="32"/>
        </w:rPr>
        <w:t>。</w:t>
      </w:r>
      <w:r>
        <w:rPr>
          <w:rFonts w:hint="eastAsia" w:ascii="方正仿宋_GBK" w:eastAsia="方正仿宋_GBK"/>
          <w:color w:val="C00000"/>
          <w:sz w:val="32"/>
          <w:szCs w:val="32"/>
          <w:lang w:eastAsia="zh-CN"/>
        </w:rPr>
        <w:t>表中所有预估量均为方便计算进行预估，最终结算以实际接送机</w:t>
      </w:r>
      <w:r>
        <w:rPr>
          <w:rFonts w:hint="eastAsia" w:ascii="方正仿宋_GBK" w:eastAsia="方正仿宋_GBK"/>
          <w:color w:val="C00000"/>
          <w:sz w:val="32"/>
          <w:szCs w:val="32"/>
          <w:lang w:val="en-US" w:eastAsia="zh-CN"/>
        </w:rPr>
        <w:t>/</w:t>
      </w:r>
      <w:r>
        <w:rPr>
          <w:rFonts w:hint="eastAsia" w:ascii="方正仿宋_GBK" w:eastAsia="方正仿宋_GBK"/>
          <w:color w:val="C00000"/>
          <w:sz w:val="32"/>
          <w:szCs w:val="32"/>
          <w:lang w:eastAsia="zh-CN"/>
        </w:rPr>
        <w:t>站所使用的车辆、人数为准。合同中仅签订各车型单价，</w:t>
      </w:r>
      <w:r>
        <w:rPr>
          <w:rFonts w:hint="eastAsia" w:ascii="方正仿宋_GBK" w:eastAsia="方正仿宋_GBK"/>
          <w:color w:val="C00000"/>
          <w:sz w:val="32"/>
          <w:szCs w:val="32"/>
          <w:lang w:val="en-US" w:eastAsia="zh-CN"/>
        </w:rPr>
        <w:t>我司不对服务数量作承诺</w:t>
      </w:r>
      <w:r>
        <w:rPr>
          <w:rFonts w:hint="eastAsia" w:ascii="方正仿宋_GBK" w:eastAsia="方正仿宋_GBK"/>
          <w:color w:val="C00000"/>
          <w:sz w:val="32"/>
          <w:szCs w:val="32"/>
        </w:rPr>
        <w:t>。</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 所有竞选人报价包括项目所需的人工费、运输费、服务费、保险费及各种应纳税费等提供服务所需的其他一切相关费用，因中选服务商自身原因造成漏报、少报皆自行承担</w:t>
      </w:r>
      <w:r>
        <w:rPr>
          <w:rFonts w:hint="eastAsia" w:ascii="方正仿宋_GBK" w:hAnsi="方正仿宋_GBK" w:eastAsia="方正仿宋_GBK" w:cs="方正仿宋_GBK"/>
          <w:color w:val="000000" w:themeColor="text1"/>
          <w:sz w:val="32"/>
          <w:szCs w:val="32"/>
          <w14:textFill>
            <w14:solidFill>
              <w14:schemeClr w14:val="tx1"/>
            </w14:solidFill>
          </w14:textFill>
        </w:rPr>
        <w:t>责任，使用方不再补偿。</w:t>
      </w:r>
    </w:p>
    <w:p>
      <w:pPr>
        <w:spacing w:line="600" w:lineRule="exact"/>
        <w:ind w:firstLine="643" w:firstLineChars="200"/>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4. 满足资质要求且</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总价最低（即填报折扣率</w:t>
      </w:r>
      <w:r>
        <w:rPr>
          <w:rFonts w:hint="eastAsia" w:ascii="方正仿宋_GBK" w:hAnsi="方正仿宋_GBK" w:eastAsia="方正仿宋_GBK" w:cs="方正仿宋_GBK"/>
          <w:b/>
          <w:bCs/>
          <w:color w:val="000000" w:themeColor="text1"/>
          <w:sz w:val="32"/>
          <w:szCs w:val="32"/>
          <w14:textFill>
            <w14:solidFill>
              <w14:schemeClr w14:val="tx1"/>
            </w14:solidFill>
          </w14:textFill>
        </w:rPr>
        <w:t>最低</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的单位成为本次项目第一中选侯选人。</w:t>
      </w:r>
    </w:p>
    <w:p>
      <w:pPr>
        <w:pStyle w:val="13"/>
        <w:spacing w:line="600" w:lineRule="exact"/>
        <w:ind w:firstLine="640"/>
        <w:rPr>
          <w:rFonts w:ascii="方正黑体_GBK" w:hAnsi="方正黑体_GBK" w:eastAsia="方正黑体_GBK" w:cs="方正黑体_GBK"/>
          <w:color w:val="000000" w:themeColor="text1"/>
          <w:sz w:val="32"/>
          <w:szCs w:val="32"/>
          <w14:textFill>
            <w14:solidFill>
              <w14:schemeClr w14:val="tx1"/>
            </w14:solidFill>
          </w14:textFill>
        </w:rPr>
      </w:pPr>
    </w:p>
    <w:p>
      <w:pPr>
        <w:pStyle w:val="13"/>
        <w:spacing w:line="600" w:lineRule="exact"/>
        <w:ind w:firstLine="64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五、竞选人资格要求</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1、遵守《中华人民共和国旅游法》、《旅行社条例》、《导游人员管理条例》等法律法规。</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2、参与比选的地接社为依照中华人民共和国法律法规设立的旅行社或分社，依法取得旅行社业务资质。（提供相关资质复印件，加盖公章）</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3、具有有效的旅行社营业执照。（提供相关资料复印件，加盖公章）</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4、具有有效的旅行社经营许可证。（提供复印件，加盖公章)</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5、提供旅行社责任保险，单次事故赔付额最高200万元，单次人身伤亡赔付最高100万元。（提供保单复印件）</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6、合作的用车单位具有规范的营业执照，提供证件复印件；（提供证件复印件）</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7、合作的用车单位营业执照经营范国，网络预约出租汽车经营服务或县际包车客运、省际包车客运（提供营业执照复印件）</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8、所提供的车辆每一辆均购买三者险100万（含）以上，每一辆的单个座位险均为50万（含）以上。（提供相关保单复印件）</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9、提供合作的用车单位不少于10辆的车辆行驶证复印件，且需与使用车辆一致（提供上述车辆对应的相关保单复印件）；</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10、要有国内外中高端游轮地接接待服务经验4年以上，且接待质量零投诉（提供有效的服务经验证明文件及零投诉承诺书）。</w:t>
      </w:r>
    </w:p>
    <w:p>
      <w:pPr>
        <w:pStyle w:val="1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snapToGrid/>
          <w:color w:val="000000" w:themeColor="text1"/>
          <w:kern w:val="2"/>
          <w:sz w:val="32"/>
          <w:szCs w:val="32"/>
          <w:lang w:val="en-US" w:eastAsia="zh-CN" w:bidi="ar-SA"/>
          <w14:textFill>
            <w14:solidFill>
              <w14:schemeClr w14:val="tx1"/>
            </w14:solidFill>
          </w14:textFill>
        </w:rPr>
        <w:t>11、本项目不允许联合体参与比选。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lang w:val="en-US"/>
        </w:rPr>
      </w:pPr>
      <w:r>
        <w:rPr>
          <w:rFonts w:hint="eastAsia" w:ascii="方正仿宋_GBK" w:eastAsia="方正仿宋_GBK"/>
          <w:color w:val="000000" w:themeColor="text1"/>
          <w:sz w:val="32"/>
          <w:szCs w:val="32"/>
          <w14:textFill>
            <w14:solidFill>
              <w14:schemeClr w14:val="tx1"/>
            </w14:solidFill>
          </w14:textFill>
        </w:rPr>
        <w:t>（以上资格要求，竞选人需逐条编制，并提供相应的证明文件或承诺书，加盖公章。未提供资格文件则视为无效竞选。）</w:t>
      </w:r>
    </w:p>
    <w:p>
      <w:pPr>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六、竞选时间及要求</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（一）报名时间：6月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日至6月1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日15:59。</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（二）竞选时间（递交截止时间）：2024年6月1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日16:00，逾期不予受理。</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（三）竞选文件投递方式</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将竞选文件在竞选当天直接送到我司（竞选人需委派代表参与现场开标）。</w:t>
      </w:r>
      <w:r>
        <w:rPr>
          <w:rFonts w:hint="eastAsia" w:ascii="方正仿宋_GBK" w:hAnsi="方正仿宋_GBK" w:eastAsia="方正仿宋_GBK" w:cs="方正仿宋_GBK"/>
          <w:color w:val="000000" w:themeColor="text1"/>
          <w:sz w:val="32"/>
          <w:szCs w:val="32"/>
          <w14:textFill>
            <w14:solidFill>
              <w14:schemeClr w14:val="tx1"/>
            </w14:solidFill>
          </w14:textFill>
        </w:rPr>
        <w:t>竞选文件须密封于不透光的文件袋中，并加盖骑缝章，封面注明“长江奇迹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w:t>
      </w:r>
      <w:r>
        <w:rPr>
          <w:rFonts w:hint="eastAsia" w:ascii="方正仿宋_GBK" w:hAnsi="方正仿宋_GBK" w:eastAsia="方正仿宋_GBK" w:cs="方正仿宋_GBK"/>
          <w:color w:val="000000" w:themeColor="text1"/>
          <w:sz w:val="32"/>
          <w:szCs w:val="32"/>
          <w14:textFill>
            <w14:solidFill>
              <w14:schemeClr w14:val="tx1"/>
            </w14:solidFill>
          </w14:textFill>
        </w:rPr>
        <w:t>区域地接服务项目”，我公司不接受传真或电子版投选书。</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（四）竞选文件份数及要求：纸质版正本、副本各一份（分别装订成册，正、副本不一致时，以正本为准；电子版在中选后按需提供）。内容根据招选人资格要求及报价要求进行编制，格式自拟。</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p>
      <w:pPr>
        <w:spacing w:line="600" w:lineRule="exact"/>
        <w:ind w:firstLine="640" w:firstLineChars="200"/>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七、比选文件获取与报名</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（一）比选获取方式：凡有意参与竞选者，请在黄金游轮公司官网（http://yangtzegoldcruises.com/）邮轮动态栏，下载本项目公开比选文件及相关资料。</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（2）报名方式：请各有意参与竞选者，通过邮件将本项目比选文件附件2“报名信息确认表”填写后（word版）发至381102796@qq.com邮箱。</w:t>
      </w:r>
    </w:p>
    <w:p>
      <w:pPr>
        <w:spacing w:line="600" w:lineRule="exact"/>
        <w:rPr>
          <w:rFonts w:ascii="方正仿宋_GBK" w:hAnsi="方正仿宋_GBK" w:eastAsia="方正仿宋_GBK" w:cs="方正仿宋_GBK"/>
          <w:color w:val="000000" w:themeColor="text1"/>
          <w:sz w:val="32"/>
          <w:szCs w:val="32"/>
          <w14:textFill>
            <w14:solidFill>
              <w14:schemeClr w14:val="tx1"/>
            </w14:solidFill>
          </w14:textFill>
        </w:rPr>
      </w:pPr>
    </w:p>
    <w:p>
      <w:pPr>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八、联系方式</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公司名称：重庆长江黄金游轮有限公司</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地址：重庆市江北区北滨一路526号重庆旅游集团2楼</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联系人：张老师   </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联系电话：18680909811</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p>
      <w:pPr>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九、现场踏勘</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竞选人不组织集中踏勘，且自觉遵守项目秩序、安全、保密、防疫管理等相关规定。无论竞选人是否踏勘过现场，均被认为已经踏勘现场，对本合同项目的风险和义务已十分了解，并在其参选文件中已充分考虑了现场和环境条件。</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竞选人及其人员应当做到安全文明踏勘现场，如在踏勘现场过程中造成人员损害和财产损失，竞选人应当承担一切法律责任和经济责任。</w:t>
      </w:r>
    </w:p>
    <w:p>
      <w:pPr>
        <w:spacing w:line="600" w:lineRule="exact"/>
      </w:pPr>
    </w:p>
    <w:p>
      <w:pPr>
        <w:spacing w:line="600" w:lineRule="exact"/>
        <w:ind w:firstLine="640" w:firstLineChars="200"/>
        <w:jc w:val="righ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重庆长江黄金游轮有限公司</w:t>
      </w:r>
    </w:p>
    <w:p>
      <w:pPr>
        <w:spacing w:line="600" w:lineRule="exact"/>
        <w:ind w:firstLine="640" w:firstLineChars="200"/>
        <w:jc w:val="righ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ascii="方正仿宋_GBK" w:hAnsi="方正仿宋_GBK" w:eastAsia="方正仿宋_GBK" w:cs="方正仿宋_GBK"/>
          <w:sz w:val="32"/>
          <w:szCs w:val="32"/>
        </w:rPr>
        <w:t>日</w:t>
      </w:r>
    </w:p>
    <w:p>
      <w:pP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br w:type="page"/>
      </w:r>
    </w:p>
    <w:p>
      <w:pPr>
        <w:spacing w:line="60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附件1：限价报价表</w:t>
      </w:r>
    </w:p>
    <w:tbl>
      <w:tblPr>
        <w:tblStyle w:val="9"/>
        <w:tblW w:w="6444" w:type="pct"/>
        <w:tblInd w:w="-1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362"/>
        <w:gridCol w:w="1717"/>
        <w:gridCol w:w="838"/>
        <w:gridCol w:w="1083"/>
        <w:gridCol w:w="1100"/>
        <w:gridCol w:w="927"/>
        <w:gridCol w:w="757"/>
        <w:gridCol w:w="100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1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长江奇迹重庆区域地接服务项目--限价报价表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车辆费</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c>
          <w:tcPr>
            <w:tcW w:w="381"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注：本表已设置公式，竞选人仅填报（4）折扣率即可，折扣率范围为；0-100%。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（1）数量</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限价合计</w:t>
            </w:r>
          </w:p>
        </w:tc>
        <w:tc>
          <w:tcPr>
            <w:tcW w:w="421" w:type="pct"/>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（4）填报折扣率</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（5）=（4）*（2）填报单价</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（6）=（1）*（5）填报总价</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江北机场—码头            重庆北站—码头           沙坪坝站—码头</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普通5座轿车</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61600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B级轿车</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7座别克商务车</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7座奔驰商务</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9-12座海狮</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13-18座海狮</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18-22座仿考/金龙等</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18-22座原考</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18-22座原考带办公桌</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30-39座</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45-49座</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53座-55座</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接/送西站-码头</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普通5座轿车</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B级轿车</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7座别克商务</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7座奔驰商务</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9-12座海狮</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13-18座海狮</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18-22座仿考/金龙等</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18-22座原考</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18-22座原考带办公桌</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30-39座</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45-49座</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53座-55座</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接/送码头-市区</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普通5座轿车</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B级轿车</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7座别克商务</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7座奔驰商务</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9-12座海狮</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13-18座海狮</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18-22座仿考/金龙等</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18-22座原考</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18-22座原考带办公桌</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30-39座</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送市区三个停靠点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45-49座</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送市区三个停靠点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53座-55座</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送市区三个停靠点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服务费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单独接船送站/机一趟</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w:t>
            </w:r>
          </w:p>
        </w:tc>
        <w:tc>
          <w:tcPr>
            <w:tcW w:w="3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协助搬运行李，不负责CHEKE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接船送站/机一趟+接机/接站服务</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进站举牌接客人，协助搬运行李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司机接站</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w:t>
            </w:r>
          </w:p>
        </w:tc>
        <w:tc>
          <w:tcPr>
            <w:tcW w:w="381" w:type="pct"/>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司机用A4纸打印接站牌，到出口处接客人和行李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司机接站</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w:t>
            </w:r>
          </w:p>
        </w:tc>
        <w:tc>
          <w:tcPr>
            <w:tcW w:w="381" w:type="pct"/>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司机用A4纸打印接站牌，到出口处接客人和行李；服务费100，停车费补助20，仅限特殊情况（7座以下小车)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30座以上车行李服务费</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司机</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685" w:type="pct"/>
            <w:gridSpan w:val="5"/>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合计（不含操作费）</w:t>
            </w: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210440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操作费</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含税</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b/>
                <w:bCs/>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21044</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685" w:type="pct"/>
            <w:gridSpan w:val="5"/>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500"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231484</w:t>
            </w:r>
          </w:p>
        </w:tc>
        <w:tc>
          <w:tcPr>
            <w:tcW w:w="42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jc w:val="cente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B级轿车车型： 包括但不限于帕萨特，比亚迪汉，天籁，凯美瑞等；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上水航次离船车辆，根据客人需求设置有3个停靠点，具体路线根据实际情况而定；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司机要求：各个车型司机提供行李服务。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rPr>
                <w:rFonts w:hint="eastAsia" w:ascii="宋体" w:hAnsi="宋体" w:eastAsia="宋体" w:cs="宋体"/>
                <w:i w:val="0"/>
                <w:iCs w:val="0"/>
                <w:color w:val="000000"/>
                <w:sz w:val="22"/>
                <w:szCs w:val="22"/>
                <w:u w:val="none"/>
              </w:rPr>
            </w:pPr>
          </w:p>
        </w:tc>
      </w:tr>
    </w:tbl>
    <w:p>
      <w:pPr>
        <w:spacing w:line="560" w:lineRule="exact"/>
        <w:jc w:val="left"/>
      </w:pPr>
      <w:r>
        <w:rPr>
          <w:rFonts w:hint="eastAsia" w:ascii="方正黑体_GBK" w:hAnsi="方正黑体_GBK" w:eastAsia="方正黑体_GBK" w:cs="方正黑体_GBK"/>
          <w:sz w:val="28"/>
          <w:szCs w:val="28"/>
        </w:rPr>
        <w:t>附件2：报名信息确认表</w:t>
      </w:r>
    </w:p>
    <w:tbl>
      <w:tblPr>
        <w:tblStyle w:val="9"/>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205"/>
        <w:gridCol w:w="1027"/>
        <w:gridCol w:w="19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88" w:type="dxa"/>
            <w:gridSpan w:val="4"/>
            <w:vAlign w:val="center"/>
          </w:tcPr>
          <w:p>
            <w:pPr>
              <w:spacing w:line="380" w:lineRule="exact"/>
              <w:jc w:val="left"/>
              <w:rPr>
                <w:rFonts w:asciiTheme="minorEastAsia" w:hAnsiTheme="minorEastAsia" w:cstheme="minorEastAsia"/>
                <w:sz w:val="24"/>
              </w:rPr>
            </w:pPr>
            <w:r>
              <w:rPr>
                <w:rFonts w:hint="eastAsia" w:asciiTheme="minorEastAsia" w:hAnsiTheme="minorEastAsia" w:cstheme="minorEastAsia"/>
                <w:b/>
                <w:sz w:val="24"/>
              </w:rPr>
              <w:t>项目名称：长江奇迹</w:t>
            </w:r>
            <w:r>
              <w:rPr>
                <w:rFonts w:hint="eastAsia" w:asciiTheme="minorEastAsia" w:hAnsiTheme="minorEastAsia" w:cstheme="minorEastAsia"/>
                <w:b/>
                <w:sz w:val="24"/>
                <w:lang w:eastAsia="zh-CN"/>
              </w:rPr>
              <w:t>重庆</w:t>
            </w:r>
            <w:r>
              <w:rPr>
                <w:rFonts w:hint="eastAsia" w:asciiTheme="minorEastAsia" w:hAnsiTheme="minorEastAsia" w:cstheme="minorEastAsia"/>
                <w:b/>
                <w:sz w:val="24"/>
              </w:rPr>
              <w:t>区域地接服务招选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88" w:type="dxa"/>
            <w:gridSpan w:val="4"/>
            <w:vAlign w:val="center"/>
          </w:tcPr>
          <w:p>
            <w:pPr>
              <w:spacing w:line="380" w:lineRule="exact"/>
              <w:jc w:val="left"/>
              <w:rPr>
                <w:rFonts w:asciiTheme="minorEastAsia" w:hAnsiTheme="minorEastAsia" w:cstheme="minorEastAsia"/>
                <w:b/>
                <w:sz w:val="24"/>
              </w:rPr>
            </w:pPr>
            <w:r>
              <w:rPr>
                <w:rFonts w:hint="eastAsia" w:asciiTheme="minorEastAsia" w:hAnsiTheme="minorEastAsia" w:cstheme="minorEastAsia"/>
                <w:b/>
                <w:sz w:val="24"/>
              </w:rPr>
              <w:t>日期：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1" w:hRule="exact"/>
        </w:trPr>
        <w:tc>
          <w:tcPr>
            <w:tcW w:w="4077" w:type="dxa"/>
            <w:vAlign w:val="center"/>
          </w:tcPr>
          <w:p>
            <w:pPr>
              <w:spacing w:line="380" w:lineRule="exact"/>
              <w:jc w:val="center"/>
              <w:rPr>
                <w:rFonts w:asciiTheme="minorEastAsia" w:hAnsiTheme="minorEastAsia" w:cstheme="minorEastAsia"/>
                <w:b/>
                <w:sz w:val="24"/>
              </w:rPr>
            </w:pPr>
            <w:r>
              <w:rPr>
                <w:rFonts w:hint="eastAsia" w:asciiTheme="minorEastAsia" w:hAnsiTheme="minorEastAsia" w:cstheme="minorEastAsia"/>
                <w:b/>
                <w:sz w:val="24"/>
              </w:rPr>
              <w:t>竞选人名称</w:t>
            </w:r>
          </w:p>
        </w:tc>
        <w:tc>
          <w:tcPr>
            <w:tcW w:w="5211" w:type="dxa"/>
            <w:gridSpan w:val="3"/>
            <w:vAlign w:val="center"/>
          </w:tcPr>
          <w:p>
            <w:pPr>
              <w:spacing w:line="380" w:lineRule="exact"/>
              <w:jc w:val="center"/>
              <w:rPr>
                <w:rFonts w:asciiTheme="minorEastAsia" w:hAnsiTheme="minorEastAsia" w:cstheme="minorEastAsia"/>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4077" w:type="dxa"/>
            <w:vAlign w:val="center"/>
          </w:tcPr>
          <w:p>
            <w:pPr>
              <w:spacing w:line="480" w:lineRule="exact"/>
              <w:jc w:val="center"/>
              <w:rPr>
                <w:rFonts w:asciiTheme="minorEastAsia" w:hAnsiTheme="minorEastAsia" w:cstheme="minorEastAsia"/>
                <w:b/>
                <w:sz w:val="24"/>
              </w:rPr>
            </w:pPr>
            <w:r>
              <w:rPr>
                <w:rFonts w:hint="eastAsia" w:asciiTheme="minorEastAsia" w:hAnsiTheme="minorEastAsia" w:cstheme="minorEastAsia"/>
                <w:b/>
                <w:sz w:val="24"/>
              </w:rPr>
              <w:t>联系人</w:t>
            </w:r>
          </w:p>
        </w:tc>
        <w:tc>
          <w:tcPr>
            <w:tcW w:w="5211" w:type="dxa"/>
            <w:gridSpan w:val="3"/>
            <w:vAlign w:val="center"/>
          </w:tcPr>
          <w:p>
            <w:pPr>
              <w:spacing w:line="480" w:lineRule="exact"/>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4077" w:type="dxa"/>
            <w:vAlign w:val="center"/>
          </w:tcPr>
          <w:p>
            <w:pPr>
              <w:spacing w:line="480" w:lineRule="exact"/>
              <w:jc w:val="center"/>
              <w:rPr>
                <w:rFonts w:asciiTheme="minorEastAsia" w:hAnsiTheme="minorEastAsia" w:cstheme="minorEastAsia"/>
                <w:b/>
                <w:sz w:val="24"/>
              </w:rPr>
            </w:pPr>
            <w:r>
              <w:rPr>
                <w:rFonts w:hint="eastAsia" w:asciiTheme="minorEastAsia" w:hAnsiTheme="minorEastAsia" w:cstheme="minorEastAsia"/>
                <w:b/>
                <w:sz w:val="24"/>
              </w:rPr>
              <w:t>手机</w:t>
            </w:r>
          </w:p>
        </w:tc>
        <w:tc>
          <w:tcPr>
            <w:tcW w:w="2205" w:type="dxa"/>
            <w:vAlign w:val="center"/>
          </w:tcPr>
          <w:p>
            <w:pPr>
              <w:spacing w:line="480" w:lineRule="exact"/>
              <w:jc w:val="center"/>
              <w:rPr>
                <w:rFonts w:asciiTheme="minorEastAsia" w:hAnsiTheme="minorEastAsia" w:cstheme="minorEastAsia"/>
                <w:sz w:val="24"/>
              </w:rPr>
            </w:pPr>
          </w:p>
        </w:tc>
        <w:tc>
          <w:tcPr>
            <w:tcW w:w="1027" w:type="dxa"/>
            <w:vAlign w:val="center"/>
          </w:tcPr>
          <w:p>
            <w:pPr>
              <w:spacing w:line="480" w:lineRule="exact"/>
              <w:ind w:left="90" w:leftChars="43"/>
              <w:jc w:val="center"/>
              <w:rPr>
                <w:rFonts w:asciiTheme="minorEastAsia" w:hAnsiTheme="minorEastAsia" w:cstheme="minorEastAsia"/>
                <w:b/>
                <w:sz w:val="24"/>
              </w:rPr>
            </w:pPr>
            <w:r>
              <w:rPr>
                <w:rFonts w:hint="eastAsia" w:asciiTheme="minorEastAsia" w:hAnsiTheme="minorEastAsia" w:cstheme="minorEastAsia"/>
                <w:b/>
                <w:sz w:val="24"/>
              </w:rPr>
              <w:t>单位座机</w:t>
            </w:r>
          </w:p>
        </w:tc>
        <w:tc>
          <w:tcPr>
            <w:tcW w:w="1979" w:type="dxa"/>
            <w:vAlign w:val="center"/>
          </w:tcPr>
          <w:p>
            <w:pPr>
              <w:spacing w:line="480" w:lineRule="exact"/>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4077" w:type="dxa"/>
            <w:vAlign w:val="center"/>
          </w:tcPr>
          <w:p>
            <w:pPr>
              <w:spacing w:line="480" w:lineRule="exact"/>
              <w:jc w:val="center"/>
              <w:rPr>
                <w:rFonts w:asciiTheme="minorEastAsia" w:hAnsiTheme="minorEastAsia" w:cstheme="minorEastAsia"/>
                <w:b/>
                <w:sz w:val="24"/>
              </w:rPr>
            </w:pPr>
            <w:r>
              <w:rPr>
                <w:rFonts w:hint="eastAsia" w:asciiTheme="minorEastAsia" w:hAnsiTheme="minorEastAsia" w:cstheme="minorEastAsia"/>
                <w:b/>
                <w:sz w:val="24"/>
              </w:rPr>
              <w:t>QQ邮箱</w:t>
            </w:r>
          </w:p>
        </w:tc>
        <w:tc>
          <w:tcPr>
            <w:tcW w:w="5211" w:type="dxa"/>
            <w:gridSpan w:val="3"/>
            <w:vAlign w:val="center"/>
          </w:tcPr>
          <w:p>
            <w:pPr>
              <w:spacing w:line="480" w:lineRule="exact"/>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4077" w:type="dxa"/>
            <w:vAlign w:val="center"/>
          </w:tcPr>
          <w:p>
            <w:pPr>
              <w:spacing w:line="380" w:lineRule="exact"/>
              <w:jc w:val="center"/>
              <w:rPr>
                <w:rFonts w:asciiTheme="minorEastAsia" w:hAnsiTheme="minorEastAsia" w:cstheme="minorEastAsia"/>
                <w:b/>
                <w:sz w:val="24"/>
              </w:rPr>
            </w:pPr>
            <w:r>
              <w:rPr>
                <w:rFonts w:hint="eastAsia" w:asciiTheme="minorEastAsia" w:hAnsiTheme="minorEastAsia" w:cstheme="minorEastAsia"/>
                <w:b/>
                <w:sz w:val="24"/>
              </w:rPr>
              <w:t>单位地址（请详细到省市地区）</w:t>
            </w:r>
          </w:p>
        </w:tc>
        <w:tc>
          <w:tcPr>
            <w:tcW w:w="5211" w:type="dxa"/>
            <w:gridSpan w:val="3"/>
            <w:vAlign w:val="center"/>
          </w:tcPr>
          <w:p>
            <w:pPr>
              <w:spacing w:line="380" w:lineRule="exact"/>
              <w:jc w:val="center"/>
              <w:rPr>
                <w:rFonts w:asciiTheme="minorEastAsia" w:hAnsi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trPr>
        <w:tc>
          <w:tcPr>
            <w:tcW w:w="4077" w:type="dxa"/>
            <w:shd w:val="clear" w:color="auto" w:fill="92D050"/>
            <w:vAlign w:val="center"/>
          </w:tcPr>
          <w:p>
            <w:pPr>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sz w:val="24"/>
              </w:rPr>
              <w:t>是否确认报名参与本项目</w:t>
            </w:r>
          </w:p>
          <w:p>
            <w:pPr>
              <w:spacing w:line="420" w:lineRule="exact"/>
              <w:jc w:val="center"/>
              <w:rPr>
                <w:rFonts w:asciiTheme="minorEastAsia" w:hAnsiTheme="minorEastAsia" w:cstheme="minorEastAsia"/>
                <w:b/>
                <w:sz w:val="24"/>
              </w:rPr>
            </w:pPr>
          </w:p>
        </w:tc>
        <w:tc>
          <w:tcPr>
            <w:tcW w:w="5211" w:type="dxa"/>
            <w:gridSpan w:val="3"/>
            <w:shd w:val="clear" w:color="auto" w:fill="92D050"/>
            <w:vAlign w:val="center"/>
          </w:tcPr>
          <w:p>
            <w:pPr>
              <w:spacing w:line="420" w:lineRule="exact"/>
              <w:jc w:val="left"/>
              <w:rPr>
                <w:rFonts w:asciiTheme="minorEastAsia" w:hAnsiTheme="minorEastAsia" w:cstheme="minorEastAsia"/>
                <w:sz w:val="24"/>
              </w:rPr>
            </w:pPr>
            <w:r>
              <w:rPr>
                <w:rFonts w:hint="eastAsia" w:asciiTheme="minorEastAsia" w:hAnsiTheme="minorEastAsia" w:cstheme="minorEastAsia"/>
                <w:sz w:val="24"/>
              </w:rPr>
              <w:t xml:space="preserve">是     </w:t>
            </w:r>
            <w:r>
              <w:rPr>
                <w:rFonts w:hint="eastAsia" w:asciiTheme="minorEastAsia" w:hAnsiTheme="minorEastAsia" w:cstheme="minorEastAsia"/>
                <w:b/>
                <w:sz w:val="24"/>
              </w:rPr>
              <w:sym w:font="Wingdings 2" w:char="00A3"/>
            </w:r>
          </w:p>
          <w:p>
            <w:pPr>
              <w:spacing w:line="420" w:lineRule="exact"/>
              <w:jc w:val="left"/>
              <w:rPr>
                <w:rFonts w:asciiTheme="minorEastAsia" w:hAnsiTheme="minorEastAsia" w:cstheme="minorEastAsia"/>
                <w:sz w:val="24"/>
              </w:rPr>
            </w:pPr>
            <w:r>
              <w:rPr>
                <w:rFonts w:hint="eastAsia" w:asciiTheme="minorEastAsia" w:hAnsiTheme="minorEastAsia" w:cstheme="minorEastAsia"/>
                <w:sz w:val="24"/>
              </w:rPr>
              <w:t xml:space="preserve">否     </w:t>
            </w:r>
            <w:r>
              <w:rPr>
                <w:rFonts w:hint="eastAsia" w:asciiTheme="minorEastAsia" w:hAnsiTheme="minorEastAsia" w:cstheme="minorEastAsia"/>
                <w:b/>
                <w:sz w:val="24"/>
              </w:rPr>
              <w:sym w:font="Wingdings 2" w:char="00A3"/>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9288" w:type="dxa"/>
            <w:gridSpan w:val="4"/>
            <w:vAlign w:val="center"/>
          </w:tcPr>
          <w:p>
            <w:pPr>
              <w:rPr>
                <w:rFonts w:asciiTheme="minorEastAsia" w:hAnsiTheme="minorEastAsia" w:cstheme="minorEastAsia"/>
                <w:b/>
                <w:sz w:val="24"/>
              </w:rPr>
            </w:pPr>
            <w:r>
              <w:rPr>
                <w:rFonts w:hint="eastAsia" w:asciiTheme="minorEastAsia" w:hAnsiTheme="minorEastAsia" w:cstheme="minorEastAsia"/>
                <w:b/>
                <w:sz w:val="24"/>
              </w:rPr>
              <w:t>备注：</w:t>
            </w:r>
          </w:p>
        </w:tc>
      </w:tr>
    </w:tbl>
    <w:p>
      <w:pPr>
        <w:rPr>
          <w:rFonts w:asciiTheme="minorEastAsia" w:hAnsiTheme="minorEastAsia" w:cstheme="minorEastAsia"/>
        </w:rPr>
      </w:pPr>
    </w:p>
    <w:p>
      <w:pPr>
        <w:rPr>
          <w:rFonts w:asciiTheme="minorEastAsia" w:hAnsiTheme="minorEastAsia" w:cstheme="minorEastAsia"/>
        </w:rPr>
      </w:pPr>
      <w:r>
        <w:rPr>
          <w:rFonts w:hint="eastAsia" w:asciiTheme="minorEastAsia" w:hAnsiTheme="minorEastAsia" w:cstheme="minorEastAsia"/>
        </w:rPr>
        <w:t>1.请在邮件正文中注明“竞选人名称、联系人、手机、QQ邮箱”信息。</w:t>
      </w:r>
    </w:p>
    <w:p>
      <w:pPr>
        <w:rPr>
          <w:rFonts w:asciiTheme="minorEastAsia" w:hAnsiTheme="minorEastAsia" w:cstheme="minorEastAsia"/>
        </w:rPr>
      </w:pPr>
      <w:r>
        <w:rPr>
          <w:rFonts w:hint="eastAsia" w:asciiTheme="minorEastAsia" w:hAnsiTheme="minorEastAsia" w:cstheme="minorEastAsia"/>
        </w:rPr>
        <w:t>2.请在报名截止时间前完成《报名信息确认表》的发送。</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23069"/>
    <w:multiLevelType w:val="singleLevel"/>
    <w:tmpl w:val="CCD23069"/>
    <w:lvl w:ilvl="0" w:tentative="0">
      <w:start w:val="3"/>
      <w:numFmt w:val="decimal"/>
      <w:suff w:val="nothing"/>
      <w:lvlText w:val="（%1）"/>
      <w:lvlJc w:val="left"/>
    </w:lvl>
  </w:abstractNum>
  <w:abstractNum w:abstractNumId="1">
    <w:nsid w:val="F8E3FFC6"/>
    <w:multiLevelType w:val="singleLevel"/>
    <w:tmpl w:val="F8E3FF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zJiNTE5ZTZmNTM3MTQyNTgzYjRiNGM3NWFmNzUifQ=="/>
  </w:docVars>
  <w:rsids>
    <w:rsidRoot w:val="15E85D89"/>
    <w:rsid w:val="00116931"/>
    <w:rsid w:val="0019366F"/>
    <w:rsid w:val="00762215"/>
    <w:rsid w:val="009615EE"/>
    <w:rsid w:val="00A634AF"/>
    <w:rsid w:val="00C6377A"/>
    <w:rsid w:val="01D3030E"/>
    <w:rsid w:val="03374AFB"/>
    <w:rsid w:val="059511D6"/>
    <w:rsid w:val="0A183F82"/>
    <w:rsid w:val="115832F0"/>
    <w:rsid w:val="15E85D89"/>
    <w:rsid w:val="18B0330F"/>
    <w:rsid w:val="1B5D378F"/>
    <w:rsid w:val="1B695A1A"/>
    <w:rsid w:val="1F0547FB"/>
    <w:rsid w:val="20ED6A19"/>
    <w:rsid w:val="29BE5BFD"/>
    <w:rsid w:val="319C22BC"/>
    <w:rsid w:val="321C20A8"/>
    <w:rsid w:val="32440888"/>
    <w:rsid w:val="378F5AB8"/>
    <w:rsid w:val="38034772"/>
    <w:rsid w:val="3B7764DD"/>
    <w:rsid w:val="3F26584F"/>
    <w:rsid w:val="48E46A99"/>
    <w:rsid w:val="4D3F6FE9"/>
    <w:rsid w:val="57254CB3"/>
    <w:rsid w:val="5A4C3614"/>
    <w:rsid w:val="5DB464C2"/>
    <w:rsid w:val="6659611C"/>
    <w:rsid w:val="67923638"/>
    <w:rsid w:val="683E3E53"/>
    <w:rsid w:val="70B93F52"/>
    <w:rsid w:val="7731383A"/>
    <w:rsid w:val="784B19A6"/>
    <w:rsid w:val="79B24069"/>
    <w:rsid w:val="7BCE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580" w:lineRule="exact"/>
      <w:ind w:firstLine="883" w:firstLineChars="200"/>
    </w:pPr>
    <w:rPr>
      <w:rFonts w:eastAsia="方正仿宋_GBK"/>
      <w:sz w:val="32"/>
    </w:rPr>
  </w:style>
  <w:style w:type="paragraph" w:styleId="3">
    <w:name w:val="Body Text Indent"/>
    <w:basedOn w:val="1"/>
    <w:next w:val="4"/>
    <w:unhideWhenUsed/>
    <w:qFormat/>
    <w:uiPriority w:val="0"/>
    <w:pPr>
      <w:widowControl w:val="0"/>
      <w:spacing w:beforeLines="0" w:after="120" w:afterLines="0"/>
      <w:ind w:left="420" w:leftChars="200"/>
    </w:pPr>
    <w:rPr>
      <w:rFonts w:hint="default" w:ascii="Arial" w:hAnsi="Arial" w:eastAsia="宋体"/>
      <w:b/>
      <w:smallCaps/>
      <w:kern w:val="28"/>
      <w:sz w:val="36"/>
      <w:szCs w:val="24"/>
      <w:lang w:eastAsia="en-US"/>
    </w:rPr>
  </w:style>
  <w:style w:type="paragraph" w:styleId="4">
    <w:name w:val="envelope return"/>
    <w:basedOn w:val="1"/>
    <w:unhideWhenUsed/>
    <w:qFormat/>
    <w:uiPriority w:val="0"/>
    <w:pPr>
      <w:snapToGrid w:val="0"/>
      <w:spacing w:beforeLines="0" w:afterLines="0"/>
    </w:pPr>
    <w:rPr>
      <w:rFonts w:hint="default" w:ascii="Arial" w:hAnsi="Arial" w:eastAsia="宋体" w:cs="Arial"/>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unhideWhenUsed/>
    <w:qFormat/>
    <w:uiPriority w:val="0"/>
    <w:pPr>
      <w:spacing w:beforeLines="0" w:afterLines="0"/>
      <w:ind w:firstLine="420"/>
    </w:pPr>
    <w:rPr>
      <w:rFonts w:hint="default"/>
      <w:sz w:val="18"/>
      <w:szCs w:val="24"/>
    </w:rPr>
  </w:style>
  <w:style w:type="character" w:styleId="11">
    <w:name w:val="Hyperlink"/>
    <w:qFormat/>
    <w:uiPriority w:val="99"/>
    <w:rPr>
      <w:rFonts w:ascii="Times New Roman" w:hAnsi="Times New Roman" w:cs="Times New Roman"/>
      <w:color w:val="0000FF"/>
      <w:u w:val="single"/>
    </w:rPr>
  </w:style>
  <w:style w:type="paragraph" w:customStyle="1" w:styleId="12">
    <w:name w:val="样式 正文缩进 + 首行缩进:  2.56 字符 段前: 0.6 行 段后: 0.6 行"/>
    <w:basedOn w:val="2"/>
    <w:qFormat/>
    <w:uiPriority w:val="99"/>
    <w:pPr>
      <w:spacing w:beforeLines="60" w:afterLines="60" w:line="300" w:lineRule="auto"/>
      <w:ind w:firstLine="0"/>
    </w:pPr>
    <w:rPr>
      <w:rFonts w:ascii="微软简仿宋" w:hAnsi="宋体" w:eastAsia="楷体_GB2312" w:cs="宋体"/>
      <w:snapToGrid w:val="0"/>
      <w:sz w:val="20"/>
      <w:lang w:val="zh-CN"/>
    </w:rPr>
  </w:style>
  <w:style w:type="paragraph" w:styleId="13">
    <w:name w:val="List Paragraph"/>
    <w:basedOn w:val="1"/>
    <w:qFormat/>
    <w:uiPriority w:val="99"/>
    <w:pPr>
      <w:ind w:firstLine="420" w:firstLineChars="200"/>
    </w:pPr>
  </w:style>
  <w:style w:type="paragraph" w:customStyle="1" w:styleId="14">
    <w:name w:val="Fließtext"/>
    <w:basedOn w:val="1"/>
    <w:qFormat/>
    <w:uiPriority w:val="0"/>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3057</Words>
  <Characters>3500</Characters>
  <Lines>23</Lines>
  <Paragraphs>6</Paragraphs>
  <TotalTime>21</TotalTime>
  <ScaleCrop>false</ScaleCrop>
  <LinksUpToDate>false</LinksUpToDate>
  <CharactersWithSpaces>3560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2024-05-29T07:57:00Z</dcterms:created>
  <dc:creator>张阅雨</dc:creator>
  <cp:lastModifiedBy>月球圣歌</cp:lastModifiedBy>
  <dcterms:modified xsi:type="dcterms:W3CDTF">2024-06-11T09:20:50Z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0571F0FAF98F4E129D7011DA98CE6E84_13</vt:lpwstr>
  </property>
</Properties>
</file>